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§12802. Commissioner's authority, investigations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§12802. Commissioner's authority, investigations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§12802. COMMISSIONER'S AUTHORITY, INVESTIGATIONS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