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§6703. Noncommercial scallop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Noncommercial scallop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§6703. NONCOMMERCIAL SCALLOP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