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Reservation of power</w:t>
      </w:r>
    </w:p>
    <w:p>
      <w:pPr>
        <w:jc w:val="both"/>
        <w:spacing w:before="100" w:after="100"/>
        <w:ind w:start="360"/>
        <w:ind w:firstLine="360"/>
      </w:pPr>
      <w:r>
        <w:rPr/>
      </w:r>
      <w:r>
        <w:rPr/>
      </w:r>
      <w:r>
        <w:t xml:space="preserve">Acts of incorporation passed since March 17, 1831, including this Act, may be amended, altered or repealed by the Legislature as if express provision to amend, alter or repeal were made in them, unless they contain an express limitation. This section does not deprive the courts of any power that they have at common law over a corporation or its officer.</w:t>
      </w:r>
      <w:r>
        <w:t xml:space="preserve">  </w:t>
      </w:r>
      <w:r xmlns:wp="http://schemas.openxmlformats.org/drawingml/2010/wordprocessingDrawing" xmlns:w15="http://schemas.microsoft.com/office/word/2012/wordml">
        <w:rPr>
          <w:rFonts w:ascii="Arial" w:hAnsi="Arial" w:cs="Arial"/>
          <w:sz w:val="22"/>
          <w:szCs w:val="22"/>
        </w:rPr>
        <w:t xml:space="preserve">[RR 1991, c. 2,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 Reservation of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Reservation of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§109. RESERVATION OF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