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§5546. HABEAS CORPUS FOR MENTALLY ILL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