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8911</w:t>
        <w:t xml:space="preserve">.  </w:t>
      </w:r>
      <w:r>
        <w:rPr>
          <w:b/>
        </w:rPr>
        <w:t xml:space="preserve">Transitional provision</w:t>
      </w:r>
    </w:p>
    <w:p>
      <w:pPr>
        <w:jc w:val="both"/>
        <w:spacing w:before="100" w:after="100"/>
        <w:ind w:start="360"/>
        <w:ind w:firstLine="360"/>
      </w:pPr>
      <w:r>
        <w:rPr/>
      </w:r>
      <w:r>
        <w:rPr/>
      </w:r>
      <w:r>
        <w:t xml:space="preserve">This Act applies to the registration of a Canadian judgment entered in a proceeding that is commenced in Canada on, before or after January 1, 2023.   </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§8911. Transitional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§8911. Transitional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§8911. TRANSITIONAL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