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432 (AMD). PL 1965, c. 513, §29 (AMD). PL 1967, c. 75 (AMD). PL 1967, c. 425, §19 (AMD). PL 1969, c. 234, §§1,2 (AMD). PL 1969, c. 504, §26 (AMD). PL 1971, c. 168 (AMD). PL 1971, c. 198 (AMD). PL 1971, c. 530, §§2-A (AMD). PL 1971, c. 610, §§7,18 (AMD). PL 1973, c. 70 (AMD). PL 1973, c. 203 (AMD). PL 1973, c. 225 (AMD). PL 1973, c. 571, §§11,12 (AMD). PL 1973, c. 625, §98 (AMD). PL 1973, c. 788, §71 (AMD). PL 1975, c. 746, §§1-A (AMD). PL 1975, c. 771, §175 (AMD). PL 1977, c. 26 (AMD). PL 1977, c. 215 (AMD). PL 1977, c. 497, §1 (AMD). PL 1977, c. 674, §17 (AMD). PL 1977, c. 690, §1 (AMD). PL 1977, c. 694, §308 (AMD). PL 1979, c. 49 (AMD). PL 1979, c. 71 (AMD). PL 1979, c. 670,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