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1004-B</w:t>
        <w:t xml:space="preserve">.  </w:t>
      </w:r>
      <w:r>
        <w:rPr>
          <w:b/>
        </w:rPr>
        <w:t xml:space="preserve">Enforcement of penalties assessed by the commission</w:t>
      </w:r>
    </w:p>
    <w:p>
      <w:pPr>
        <w:jc w:val="both"/>
        <w:spacing w:before="100" w:after="100"/>
        <w:ind w:start="360"/>
        <w:ind w:firstLine="360"/>
      </w:pPr>
      <w:r>
        <w:rPr/>
      </w:r>
      <w:r>
        <w:rPr/>
      </w:r>
      <w:r>
        <w:t xml:space="preserve">The commission staff shall collect the full amount of any penalty and the return of Maine Clean Election Act funds required by the commission to be returned for a violation of the statutes or rules administered by the commission and has all necessary powers to carry out these duties. Failure to pay the full amount of any penalty assessed by the commission or return of Maine Clean Election Act funds is a civil violation by the candidate, treasurer, party committee, political action committee or other person.  Thirty days after issuing the notice of penalty or order for the return of funds, the commission shall report to the Attorney General the name of any person who has failed to pay the full amount of any penalty or to return Maine Clean Election Act funds unless the commission has provided an extended deadline for payment. The Attorney General shall enforce the violation in a civil action to collect up to 3 times the outstanding amount of the penalty or unreturned Maine Clean Election Act funds. This action must be brought in the Superior Court for Kennebec County or the District Court, 7th District, Division of Southern Kennebec.</w:t>
      </w:r>
      <w:r>
        <w:t xml:space="preserve">  </w:t>
      </w:r>
      <w:r xmlns:wp="http://schemas.openxmlformats.org/drawingml/2010/wordprocessingDrawing" xmlns:w15="http://schemas.microsoft.com/office/word/2012/wordml">
        <w:rPr>
          <w:rFonts w:ascii="Arial" w:hAnsi="Arial" w:cs="Arial"/>
          <w:sz w:val="22"/>
          <w:szCs w:val="22"/>
        </w:rPr>
        <w:t xml:space="preserve">[PL 2023, c. 324,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§3 (NEW). PL 2023, c. 324,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§1004-B. Enforcement of penalties assessed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§1004-B. Enforcement of penalties assessed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§1004-B. ENFORCEMENT OF PENALTIES ASSESSED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