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DUTIES AND PROCEDURES AFTER ELECTION</w:t>
      </w:r>
    </w:p>
    <w:p>
      <w:pPr>
        <w:jc w:val="center"/>
        <w:ind w:start="360"/>
        <w:spacing w:before="300" w:after="300"/>
      </w:pPr>
      <w:r>
        <w:rPr>
          <w:b/>
        </w:rPr>
        <w:t>SUBCHAPTER</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TIE VOTES</w:t>
      </w:r>
    </w:p>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jc w:val="center"/>
        <w:ind w:start="360"/>
        <w:spacing w:before="300" w:after="300"/>
      </w:pPr>
      <w:r>
        <w:rPr>
          <w:b/>
        </w:rPr>
        <w:t>SUBCHAPTER</w:t>
        <w:t xml:space="preserve"> </w:t>
        <w:t>4</w:t>
      </w:r>
    </w:p>
    <w:p>
      <w:pPr>
        <w:jc w:val="center"/>
        <w:ind w:start="360"/>
        <w:spacing w:before="300" w:after="300"/>
      </w:pPr>
      <w:r>
        <w:rPr>
          <w:b/>
        </w:rPr>
        <w:t xml:space="preserve">PRESIDENTIAL ELECTORS</w:t>
      </w:r>
    </w:p>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MISCELLANEOUS</w:t>
      </w:r>
    </w:p>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27. DUTIES AND PROCEDURES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