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REPORTS BY POLITICAL ACTION COMMITTEES</w:t>
      </w:r>
    </w:p>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38. REPORTS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