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3174-ZZ</w:t>
        <w:t xml:space="preserve">.  </w:t>
      </w:r>
      <w:r>
        <w:rPr>
          <w:b/>
        </w:rPr>
        <w:t xml:space="preserve">Reimbursement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100"/>
        <w:ind w:start="360"/>
        <w:ind w:firstLine="360"/>
      </w:pPr>
      <w:r>
        <w:rPr>
          <w:b/>
        </w:rPr>
        <w:t>2</w:t>
        <w:t xml:space="preserve">.  </w:t>
      </w:r>
      <w:r>
        <w:rPr>
          <w:b/>
        </w:rPr>
        <w:t xml:space="preserve">Required reimbursement.</w:t>
        <w:t xml:space="preserve"> </w:t>
      </w:r>
      <w:r>
        <w:t xml:space="preserve"> </w:t>
      </w:r>
      <w:r>
        <w:t xml:space="preserve">The department shall provide reimbursement for a hearing aid for one hearing-impaired ear of an individual enrolled in the MaineCare program in accordance with the following requirements:</w:t>
      </w:r>
    </w:p>
    <w:p>
      <w:pPr>
        <w:jc w:val="both"/>
        <w:spacing w:before="100" w:after="0"/>
        <w:ind w:start="720"/>
      </w:pPr>
      <w:r>
        <w:rPr/>
        <w:t>A</w:t>
        <w:t xml:space="preserve">.  </w:t>
      </w:r>
      <w:r>
        <w:rPr/>
      </w:r>
      <w:r>
        <w:t xml:space="preserve">The hearing loss must be documented by a primary care provider or an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B</w:t>
        <w:t xml:space="preserve">.  </w:t>
      </w:r>
      <w:r>
        <w:rPr/>
      </w:r>
      <w:r>
        <w:t xml:space="preserve">The hearing aid must be provided by an audiologist or a hearing aid dealer licensed pursuant to </w:t>
      </w:r>
      <w:r>
        <w:t>Title 32, chapter 137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C</w:t>
        <w:t xml:space="preserve">.  </w:t>
      </w:r>
      <w:r>
        <w:rPr/>
      </w:r>
      <w:r>
        <w:t xml:space="preserve">The hearing loss must meet the requirements established by the department in rule regarding the individual's severity of hearing loss.</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360"/>
      </w:pPr>
      <w:r>
        <w:rPr/>
      </w:r>
      <w:r>
        <w:rPr/>
      </w:r>
      <w:r>
        <w:t xml:space="preserve">The department shall provide reimbursement for a hearing aid for the 2nd hearing-impaired ear of an individual enrolled in the MaineCare program if the individual meets requirements established by the department by rule regarding the individual's severity of hearing loss, enrollment in school, enrollment in vocational training, employment needs or the needs identified by a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§3174-ZZ. Reimbursement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§3174-ZZ. Reimbursement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§3174-ZZ. REIMBURSEMENT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