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3175-B</w:t>
        <w:t xml:space="preserve">.  </w:t>
      </w:r>
      <w:r>
        <w:rPr>
          <w:b/>
        </w:rPr>
        <w:t xml:space="preserve">Delinquent residential treatment facility taxes to be withheld from Medicaid payments</w:t>
      </w:r>
    </w:p>
    <w:p>
      <w:pPr>
        <w:jc w:val="both"/>
        <w:spacing w:before="100" w:after="100"/>
        <w:ind w:start="360"/>
        <w:ind w:firstLine="360"/>
      </w:pPr>
      <w:r>
        <w:rPr/>
      </w:r>
      <w:r>
        <w:rPr/>
      </w:r>
      <w:r>
        <w:t xml:space="preserve">Whenever the commissioner receives written notice from the State Tax Assessor that a residential treatment facility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residential treatment facility's Medicaid payments.  All amounts withheld by the commissioner pursuant to this section are deemed to be health care provider tax payments by the residential treatment facility and must be transferred within 30 days to the State Tax Assessor, who shall apply the amount in question to the residential treatment facility's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§3175-B. Delinquent residential treatment facility taxes to be withheld from Medicaid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§3175-B. Delinquent residential treatment facility taxes to be withheld from Medicaid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§3175-B. DELINQUENT RESIDENTIAL TREATMENT FACILITY TAXES TO BE WITHHELD FROM MEDICAID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