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Notice of claim</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Notice of claim: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In a policy providing a loss-of-time benefit that may be payable for at least 2 years, an insurer may at its option insert the following between the first and 2nd sentence of the above provision:</w:t>
      </w:r>
    </w:p>
    <w:p>
      <w:pPr>
        <w:jc w:val="both"/>
        <w:spacing w:before="100" w:after="0"/>
        <w:ind w:start="360"/>
      </w:pPr>
      <w:r>
        <w:rPr/>
      </w:r>
      <w:r>
        <w:rPr/>
      </w:r>
      <w:r>
        <w:t xml:space="preserve">Subject to the qualifications set forth below, if the insured suffers loss of time on account of disability for which indemnity may be payable for at least 2 years, the insured shall, at least once in every 6 months after having given notice of the claim, give to the insurer notice of continuance of such disability, except in the event of legal incapacity. The period of 6 months following any filing of proof by the insured or any payment by the insurer on account of such claim or any denial of liability in whole or in part by the insurer must be excluded in applying this provision. Delay in the giving of such notice does not impair the insured's right to any indemnity that would otherwise have accrued during the period of 6 months preceding the date on which such notice is actually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Notice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Notice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§2709. NOTICE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