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Coverage of prosthetic devices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"prosthetic device" means an artificial device to replace, in whole or in part, an arm or a leg.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w:t>
      </w:r>
    </w:p>
    <w:p>
      <w:pPr>
        <w:jc w:val="both"/>
        <w:spacing w:before="100" w:after="0"/>
        <w:ind w:start="720"/>
      </w:pPr>
      <w:r>
        <w:rPr/>
        <w:t>A</w:t>
        <w:t xml:space="preserve">.  </w:t>
      </w:r>
      <w:r>
        <w:rPr/>
      </w:r>
      <w:r>
        <w:t xml:space="preserve">A prosthetic device determined by the enrollee's provider, in accordance with </w:t>
      </w:r>
      <w:r>
        <w:t>section 4301‑A, subsection 10‑A</w:t>
      </w:r>
      <w:r>
        <w:t xml:space="preserve">, to be the most appropriate model that adequately meets the medical needs of the enrollee; and</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w:pPr>
        <w:jc w:val="both"/>
        <w:spacing w:before="100" w:after="0"/>
        <w:ind w:start="720"/>
      </w:pPr>
      <w:r>
        <w:rPr/>
        <w:t>B</w:t>
        <w:t xml:space="preserve">.  </w:t>
      </w:r>
      <w:r>
        <w:rPr/>
      </w:r>
      <w:r>
        <w:t xml:space="preserve">With respect to an enrollee under 18 years of age, in addition to coverage of a prosthetic device required by paragraph A, a prosthetic device determined by the enrollee's provider, in accordance with </w:t>
      </w:r>
      <w:r>
        <w:t>section 4301‑A, subsection 10‑A</w:t>
      </w:r>
      <w:r>
        <w:t xml:space="preserve">, to be the most appropriate model that meets the medical needs of the enrollee for recreational purposes, as applicable, to maximize the enrollee’s ability to ambulate, run, bike and swim and to maximize upper limb function.</w:t>
      </w:r>
      <w:r>
        <w:t xml:space="preserve">  </w:t>
      </w:r>
      <w:r xmlns:wp="http://schemas.openxmlformats.org/drawingml/2010/wordprocessingDrawing" xmlns:w15="http://schemas.microsoft.com/office/word/2012/wordml">
        <w:rPr>
          <w:rFonts w:ascii="Arial" w:hAnsi="Arial" w:cs="Arial"/>
          <w:sz w:val="22"/>
          <w:szCs w:val="22"/>
        </w:rPr>
        <w:t xml:space="preserve">[PL 2021,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§1 (AMD).]</w:t>
      </w:r>
    </w:p>
    <w:p>
      <w:pPr>
        <w:jc w:val="both"/>
        <w:spacing w:before="100" w:after="0"/>
        <w:ind w:start="360"/>
        <w:ind w:firstLine="360"/>
      </w:pPr>
      <w:r>
        <w:rPr>
          <w:b/>
        </w:rPr>
        <w:t>3</w:t>
        <w:t xml:space="preserve">.  </w:t>
      </w:r>
      <w:r>
        <w:rPr>
          <w:b/>
        </w:rPr>
        <w:t xml:space="preserve">Prior authorization.</w:t>
        <w:t xml:space="preserve"> </w:t>
      </w:r>
      <w:r>
        <w:t xml:space="preserve"> </w:t>
      </w:r>
      <w:r>
        <w:t xml:space="preserve">A carrier may require prior authorization for prosthetic devices in the same manner as prior authorization is required for any other covered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4</w:t>
        <w:t xml:space="preserve">.  </w:t>
      </w:r>
      <w:r>
        <w:rPr>
          <w:b/>
        </w:rPr>
        <w:t xml:space="preserve">Repair or replacement.</w:t>
        <w:t xml:space="preserve"> </w:t>
      </w:r>
      <w:r>
        <w:t xml:space="preserve"> </w:t>
      </w:r>
      <w:r>
        <w:t xml:space="preserve">Coverage under this section must also be provided for repair or replacement of a prosthetic device if repair or replacement is determined appropriate by the enrollee's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5</w:t>
        <w:t xml:space="preserve">.  </w:t>
      </w:r>
      <w:r>
        <w:rPr>
          <w:b/>
        </w:rPr>
        <w:t xml:space="preserve">Coverage under managed care plan.</w:t>
        <w:t xml:space="preserve"> </w:t>
      </w:r>
      <w:r>
        <w:t xml:space="preserve"> </w:t>
      </w:r>
      <w:r>
        <w:t xml:space="preserve">If coverage under this section is provided through a managed care plan, a carrier may require that prosthetic services be rendered by a provider who contracts with the carrier and that a prosthetic device be provided by a vendor designated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w:t>
      </w:r>
    </w:p>
    <w:p>
      <w:pPr>
        <w:jc w:val="both"/>
        <w:spacing w:before="100" w:after="0"/>
        <w:ind w:start="360"/>
        <w:ind w:firstLine="360"/>
      </w:pPr>
      <w:r>
        <w:rPr>
          <w:b/>
        </w:rPr>
        <w:t>6</w:t>
        <w:t xml:space="preserve">.  </w:t>
      </w:r>
      <w:r>
        <w:rPr>
          <w:b/>
        </w:rPr>
        <w:t xml:space="preserve">Exclusions.</w:t>
        <w:t xml:space="preserve"> </w:t>
      </w:r>
      <w:r>
        <w:t xml:space="preserve"> </w:t>
      </w:r>
      <w:r>
        <w:t xml:space="preserve">Except as provided in </w:t>
      </w:r>
      <w:r>
        <w:t>subsection 2, paragraph B</w:t>
      </w:r>
      <w:r>
        <w:t xml:space="preserve"> for an enrollee under 18 years of age, coverage is not required pursuant to this section for a prosthetic device that is designed exclusively for an athletic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§2 (AMD).]</w:t>
      </w:r>
    </w:p>
    <w:p>
      <w:pPr>
        <w:jc w:val="both"/>
        <w:spacing w:before="100" w:after="0"/>
        <w:ind w:start="360"/>
        <w:ind w:firstLine="360"/>
      </w:pPr>
      <w:r>
        <w:rPr>
          <w:b/>
        </w:rPr>
        <w:t>7</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§34 (NEW).]</w:t>
      </w:r>
    </w:p>
    <w:p>
      <w:pPr>
        <w:jc w:val="both"/>
        <w:spacing w:before="100" w:after="0"/>
        <w:ind w:start="360"/>
        <w:ind w:firstLine="360"/>
      </w:pPr>
      <w:r>
        <w:rPr>
          <w:b/>
        </w:rPr>
        <w:t>8</w:t>
        <w:t xml:space="preserve">.  </w:t>
      </w:r>
      <w:r>
        <w:rPr>
          <w:b/>
        </w:rPr>
        <w:t xml:space="preserve">Health savings accounts.</w:t>
        <w:t xml:space="preserve"> </w:t>
      </w:r>
      <w:r>
        <w:t xml:space="preserve"> </w:t>
      </w:r>
      <w:r>
        <w:t xml:space="preserve">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I, §2 (NEW).]</w:t>
      </w:r>
    </w:p>
    <w:p>
      <w:pPr>
        <w:jc w:val="both"/>
        <w:spacing w:before="100" w:after="0"/>
        <w:ind w:start="360"/>
        <w:ind w:firstLine="360"/>
      </w:pPr>
      <w:r>
        <w:rPr>
          <w:b/>
        </w:rPr>
        <w:t>9</w:t>
        <w:t xml:space="preserve">.  </w:t>
      </w:r>
      <w:r>
        <w:rPr>
          <w:b/>
        </w:rPr>
        <w:t xml:space="preserve">Report.</w:t>
        <w:t xml:space="preserve"> </w:t>
      </w:r>
      <w:r>
        <w:t xml:space="preserve"> </w:t>
      </w:r>
      <w:r>
        <w:t xml:space="preserve">No later than June 30, 2028, each carrier that issues a health plan subject to this section shall report to the superintendent on its experience pursuant to this section for plan years 2024, 2025, 2026 and 2027.  The report must be in a form prescribed by the superintendent and must include the number of claims and the total amount of claims paid in this State for the services required by this section.  The superintendent shall aggregate this data by plan year in a report and submit the report to the joint standing committee of the Legislature having jurisdiction over health coverage and insurance matters no later than November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459, §1 (NEW). PL 2003, c. 459, §2 (AFF). PL 2003, c. 517, §B34 (AMD). PL 2003, c. 688, §§I1,2 (AMD). PL 2009, c. 603, §1 (AMD). PL 2009, c. 603, §2 (AFF). PL 2021, c. 741,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§4315. Coverage of prosthetic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Coverage of prosthetic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§4315. COVERAGE OF PROSTHETIC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