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Calculation of livable wage</w:t>
      </w:r>
    </w:p>
    <w:p>
      <w:pPr>
        <w:jc w:val="both"/>
        <w:spacing w:before="100" w:after="100"/>
        <w:ind w:start="360"/>
        <w:ind w:firstLine="360"/>
      </w:pPr>
      <w:r>
        <w:rPr/>
      </w:r>
      <w:r>
        <w:rPr/>
      </w:r>
      <w:r>
        <w:t xml:space="preserve">By July 1, 2013 and biennially thereafter, the department shall calculate the livable wage and develop a basic needs budget for households in this State based on, at a minimum, a 2-parent household with 2 earners and 2 children representative family size, but only if funding has been appropriated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2011, c. 569, §3 (NEW).]</w:t>
      </w:r>
    </w:p>
    <w:p>
      <w:pPr>
        <w:jc w:val="both"/>
        <w:spacing w:before="100" w:after="100"/>
        <w:ind w:start="360"/>
        <w:ind w:firstLine="360"/>
      </w:pPr>
      <w:r>
        <w:rPr/>
      </w:r>
      <w:r>
        <w:rPr/>
      </w:r>
      <w:r>
        <w:t xml:space="preserve">By December 1, 2013 and biennially thereafter, the department shall report the livable wages calculated and the basic needs budget for households developed pursuant to this section to the Legislature if funds have been appropriated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2011, c. 569,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§1406. Calculation of livable wage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Calculation of livable wage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§1406. CALCULATION OF LIVABLE WAGE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