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§598. Employment reference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Employment reference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§598. EMPLOYMENT REFERENCE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