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979-U</w:t>
        <w:t xml:space="preserve">.  </w:t>
      </w:r>
      <w:r>
        <w:rPr>
          <w:b/>
        </w:rPr>
        <w:t xml:space="preserve">Obligations during interim between contracts</w:t>
      </w:r>
    </w:p>
    <w:p>
      <w:pPr>
        <w:jc w:val="both"/>
        <w:spacing w:before="100" w:after="100"/>
        <w:ind w:start="360"/>
      </w:pPr>
      <w:r>
        <w:rPr>
          <w:b/>
        </w:rPr>
        <w:t>(REALLOCATED FROM TITLE 26, SECTION 979-T)</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state employees covered by the expired collective bargaining agreement remain eligible for and must receive merit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2019, c. 393, §1 (NEW); RR 2019,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393, §1 (NEW). RR 2019, c. 1,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§979-U.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§979-U.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§979-U.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