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Certificate of Chief of State Police; Secretary of State</w:t>
      </w:r>
    </w:p>
    <w:p>
      <w:pPr>
        <w:jc w:val="both"/>
        <w:spacing w:before="100" w:after="100"/>
        <w:ind w:start="360"/>
        <w:ind w:firstLine="360"/>
      </w:pPr>
      <w:r>
        <w:rPr/>
      </w:r>
      <w:r>
        <w:rPr/>
      </w:r>
      <w:r>
        <w:t xml:space="preserve">The certificate of the Chief of the State Police must be received in any court of law in this State as prima facie evidence of the making or issuing by the Bureau of State Police of any rule authorized by this chapter.  The certificate of the Secretary of State or the Secretary of State's deputy, under seal of the State, must be received in any court of law in this State or in any proceeding pursuant to this chapter as prima facie evidence of the issuance, suspension, revocation or restoration of any driver's license, or the issuance, suspension, annulment or restoration of any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§560. Certificate of Chief of State Police;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Certificate of Chief of State Police;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§560. CERTIFICATE OF CHIEF OF STATE POLICE;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