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18555</w:t>
        <w:t xml:space="preserve">.  </w:t>
      </w:r>
      <w:r>
        <w:rPr>
          <w:b/>
        </w:rPr>
        <w:t xml:space="preserve">Privilege to practice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privilege to practice under the terms and provisions of the compact, the licensee must:</w:t>
      </w:r>
    </w:p>
    <w:p>
      <w:pPr>
        <w:jc w:val="both"/>
        <w:spacing w:before="100" w:after="0"/>
        <w:ind w:start="720"/>
      </w:pPr>
      <w:r>
        <w:rPr/>
        <w:t>A</w:t>
        <w:t xml:space="preserve">.  </w:t>
      </w:r>
      <w:r>
        <w:rPr/>
      </w:r>
      <w:r>
        <w:t xml:space="preserve">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Have a valid United States social security number or national practitioner identifier;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Be eligible for a privilege to practice in any member state in accordance with </w:t>
      </w:r>
      <w:r>
        <w:t>subsections 4</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Have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Notify the commission that the licensee is seeking the privilege to practice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Pay any applicable fees, including any state fee, for the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Meet any continuing competence and education requirements established by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Meet any jurisprudence requirements established by the remote state in which the licensee is seeking a privilege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Report to the commission any adverse action, encumbrance or restriction on the license taken by any nonmember state within 30 days from the date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Validity.</w:t>
        <w:t xml:space="preserve"> </w:t>
      </w:r>
      <w:r>
        <w:t xml:space="preserve"> </w:t>
      </w:r>
      <w:r>
        <w:t xml:space="preserve">The privilege to practice is valid until the expiration date of the home state license.  The licensee must comply with the requirements of </w:t>
      </w:r>
      <w:r>
        <w:t>subsection 1</w:t>
      </w:r>
      <w:r>
        <w:t xml:space="preserve"> to maintain the privilege to practice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professional counseling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privilege to practice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privilege to practice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privilege to practice in any remote state is removed, the individual may lose the privilege to practice in all other remote states until the following occur:</w:t>
      </w:r>
    </w:p>
    <w:p>
      <w:pPr>
        <w:jc w:val="both"/>
        <w:spacing w:before="100" w:after="0"/>
        <w:ind w:start="720"/>
      </w:pPr>
      <w:r>
        <w:rPr/>
        <w:t>A</w:t>
        <w:t xml:space="preserve">.  </w:t>
      </w:r>
      <w:r>
        <w:rPr/>
      </w:r>
      <w:r>
        <w:t xml:space="preserve">The specific period of time for which the privilege to practice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privilege to practice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§18555. Privilege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§18555. Privilege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§18555. PRIVILEGE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