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License renewal</w:t>
      </w:r>
    </w:p>
    <w:p>
      <w:pPr>
        <w:jc w:val="both"/>
        <w:spacing w:before="100" w:after="100"/>
        <w:ind w:start="360"/>
        <w:ind w:firstLine="360"/>
      </w:pPr>
      <w:r>
        <w:rPr/>
      </w:r>
      <w:r>
        <w:rPr/>
      </w:r>
      <w:r>
        <w:t xml:space="preserve">All licenses must be renewed at such times as the Commissioner of Professional and Financial Regulation may designate upon application by the licensee accompanied by the renewal fee as set under </w:t>
      </w:r>
      <w:r>
        <w:t>section 3116‑A</w:t>
      </w:r>
      <w:r>
        <w:t xml:space="preserve">.  Any license not renewed by the date set by the commissioner automatically expires. The board may renew an expired license if the renewal notice is returned within 90 days of the expiration date and upon payment of a late fee in addition to the renewal fee as set under </w:t>
      </w:r>
      <w:r>
        <w:t>section 3116‑A</w:t>
      </w:r>
      <w:r>
        <w:t xml:space="preserve">.  A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2023, c. 317,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§65 (AMD). PL 1983, c. 204, §9 (AMD). PL 1983, c. 413, §137 (RPR). PL 1999, c. 386, §K5 (AMD). PL 2003, c. 250, §A4 (AMD). PL 2007, c. 402, Pt. N, §8 (AMD). PL 2023, c. 317,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§3116.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