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§382. REGISTRATION OF ALIENS DURING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