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Dispute resolution</w:t>
      </w:r>
    </w:p>
    <w:p>
      <w:pPr>
        <w:jc w:val="both"/>
        <w:spacing w:before="100" w:after="100"/>
        <w:ind w:start="360"/>
        <w:ind w:firstLine="360"/>
      </w:pPr>
      <w:r>
        <w:rPr/>
      </w:r>
      <w:r>
        <w:rPr/>
      </w:r>
      <w:r>
        <w:t xml:space="preserve">In the event that the bureau and a host community cannot agree on the terms of a host community agreement pursuant to </w:t>
      </w:r>
      <w:r>
        <w:t>section 2170‑A</w:t>
      </w:r>
      <w:r>
        <w:t xml:space="preserve">, the parties shall submit the dispute for resolution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655, Pt. GG, §52 (AMD); PL 2011, c. 655, Pt. GG, §70 (AFF).]</w:t>
      </w:r>
    </w:p>
    <w:p>
      <w:pPr>
        <w:jc w:val="both"/>
        <w:spacing w:before="100" w:after="0"/>
        <w:ind w:start="360"/>
        <w:ind w:firstLine="360"/>
      </w:pPr>
      <w:r>
        <w:rPr>
          <w:b/>
        </w:rPr>
        <w:t>1</w:t>
        <w:t xml:space="preserve">.  </w:t>
      </w:r>
      <w:r>
        <w:rPr>
          <w:b/>
        </w:rPr>
        <w:t xml:space="preserve">Mediation.</w:t>
        <w:t xml:space="preserve"> </w:t>
      </w:r>
      <w:r>
        <w:t xml:space="preserve"> </w:t>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Office of Court Alternative Dispute Resolution Service created in </w:t>
      </w:r>
      <w:r>
        <w:t>Title 4, section 18‑B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§4 (NEW).]</w:t>
      </w:r>
    </w:p>
    <w:p>
      <w:pPr>
        <w:jc w:val="both"/>
        <w:spacing w:before="100" w:after="100"/>
        <w:ind w:start="360"/>
        <w:ind w:firstLine="360"/>
      </w:pPr>
      <w:r>
        <w:rPr>
          <w:b/>
        </w:rPr>
        <w:t>2</w:t>
        <w:t xml:space="preserve">.  </w:t>
      </w:r>
      <w:r>
        <w:rPr>
          <w:b/>
        </w:rPr>
        <w:t xml:space="preserve">Arbitration.</w:t>
        <w:t xml:space="preserve"> </w:t>
      </w:r>
      <w:r>
        <w:t xml:space="preserve"> </w:t>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Office of Court Alternative Dispute Resolution Service created in </w:t>
      </w:r>
      <w:r>
        <w:t>Title 4, section 18‑B</w:t>
      </w:r>
      <w:r>
        <w:t xml:space="preserve"> or by the American Arbitration Association or its successor organization.</w:t>
      </w:r>
    </w:p>
    <w:p>
      <w:pPr>
        <w:jc w:val="both"/>
        <w:spacing w:before="100" w:after="0"/>
        <w:ind w:start="720"/>
      </w:pPr>
      <w:r>
        <w:rPr/>
        <w:t>A</w:t>
        <w:t xml:space="preserve">.  </w:t>
      </w:r>
      <w:r>
        <w:rPr/>
      </w:r>
      <w:r>
        <w:t xml:space="preserve">Both the bureau and the host community will be bound by the decision of the arbitrator.</w:t>
      </w:r>
      <w:r>
        <w:t xml:space="preserve">  </w:t>
      </w:r>
      <w:r xmlns:wp="http://schemas.openxmlformats.org/drawingml/2010/wordprocessingDrawing" xmlns:w15="http://schemas.microsoft.com/office/word/2012/wordml">
        <w:rPr>
          <w:rFonts w:ascii="Arial" w:hAnsi="Arial" w:cs="Arial"/>
          <w:sz w:val="22"/>
          <w:szCs w:val="22"/>
        </w:rPr>
        <w:t xml:space="preserve">[PL 2011, c. 655, Pt. GG, §53 (AMD); PL 2011, c. 655, Pt. GG, §70 (AFF).]</w:t>
      </w:r>
    </w:p>
    <w:p>
      <w:pPr>
        <w:jc w:val="both"/>
        <w:spacing w:before="100" w:after="0"/>
        <w:ind w:start="720"/>
      </w:pPr>
      <w:r>
        <w:rPr/>
        <w:t>B</w:t>
        <w:t xml:space="preserve">.  </w:t>
      </w:r>
      <w:r>
        <w:rPr/>
      </w:r>
      <w:r>
        <w:t xml:space="preserve">Unless otherwise provided for in this subsection, the arbitration must be conducted in accordance with the rules of the American Arbitration Association or its successor organization for the conduct of commercial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C</w:t>
        <w:t xml:space="preserve">.  </w:t>
      </w:r>
      <w:r>
        <w:rPr/>
      </w:r>
      <w:r>
        <w:t xml:space="preserve">Costs associated with the arbitration must be shared equally between the parties.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D</w:t>
        <w:t xml:space="preserve">.  </w:t>
      </w:r>
      <w:r>
        <w:rPr/>
      </w:r>
      <w:r>
        <w:t xml:space="preserve">The arbitrator shall submit the decision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§B6 (AMD). PL 1995, c. 656, §A52 (AMD). PL 2007, c. 406, §4 (RPR). PL 2011, c. 655, Pt. GG, §§52, 53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§2172.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§2172.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