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Petition for award; protective decree</w:t>
      </w:r>
    </w:p>
    <w:p>
      <w:pPr>
        <w:jc w:val="both"/>
        <w:spacing w:before="100" w:after="100"/>
        <w:ind w:start="360"/>
        <w:ind w:firstLine="360"/>
      </w:pPr>
      <w:r>
        <w:rPr/>
      </w:r>
      <w:r>
        <w:rPr/>
      </w:r>
      <w:r>
        <w:t xml:space="preserve">In the event of a controversy as to the responsibility of an employer for the payment of compensation, any party in interest may file in the office of the board a petition for award of compensation setting forth the names and residences of the parties, the facts relating to the employment at the time of the injury, the knowledge of the employer or notice of the occurrence of the injury, the character and extent of the injury and the claims of the petitioner with reference to the injury, together with such other facts as may be necessary and proper for the determination of the rights of the petitioner.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following an injury that causes no incapacity for work, the employer and employee reach an agreement that the employee has received a personal injury arising out of and in the course of employment, a memorandum of such an agreement signed by the parties may be filed in the office of the board. The memorandum must set forth the names and residences of the parties, the facts relating to the employment at the time of the injury, the time, place and cause of the injury, and the nature and extent of the injury.  Any member of the board is empowered, without the necessity of the filing of a petition for award, to render a protective decree based on that memorandum.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 Petition for award; protective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Petition for award; protective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§305. PETITION FOR AWARD; PROTECTIVE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