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§328-D. Cardiovascular injury or disease and pulmonary disease suffered by a law enforcement officer or resulting in a law enforcement officer's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§328-D. Cardiovascular injury or disease and pulmonary disease suffered by a law enforcement officer or resulting in a law enforcement officer's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§328-D. CARDIOVASCULAR INJURY OR DISEASE AND PULMONARY DISEASE SUFFERED BY A LAW ENFORCEMENT OFFICER OR RESULTING IN A LAW ENFORCEMENT OFFICER'S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