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9082</w:t>
        <w:t xml:space="preserve">.  </w:t>
      </w:r>
      <w:r>
        <w:rPr>
          <w:b/>
        </w:rPr>
        <w:t xml:space="preserve">License required</w:t>
      </w:r>
    </w:p>
    <w:p>
      <w:pPr>
        <w:jc w:val="both"/>
        <w:spacing w:before="100" w:after="100"/>
        <w:ind w:start="360"/>
        <w:ind w:firstLine="360"/>
      </w:pPr>
      <w:r>
        <w:rPr/>
      </w:r>
      <w:r>
        <w:rPr/>
      </w:r>
      <w:r>
        <w:t xml:space="preserve">A person may not conduct, control, manage or operate, for compensation, directly or indirectly, any  manufactured housing community unless licensed by the board.  Licenses issued  must be displayed in a place readily visible to customers or other persons using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w:pPr>
        <w:jc w:val="both"/>
        <w:spacing w:before="100" w:after="100"/>
        <w:ind w:start="360"/>
        <w:ind w:firstLine="360"/>
      </w:pPr>
      <w:r>
        <w:rPr/>
      </w:r>
      <w:r>
        <w:rPr/>
      </w:r>
      <w:r>
        <w:t xml:space="preserve">Any person desiring a license shall submit satisfactory evidence, in a form acceptable to the board, of that person's ability to comply with the minimum standards of this subchapter and all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