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9-1315</w:t>
        <w:t xml:space="preserve">.  </w:t>
      </w:r>
      <w:r>
        <w:rPr>
          <w:b/>
        </w:rPr>
        <w:t xml:space="preserve">Secured party's rights on disposition of collateral and in proceeds</w:t>
      </w:r>
    </w:p>
    <w:p>
      <w:pPr>
        <w:jc w:val="both"/>
        <w:spacing w:before="100" w:after="100"/>
        <w:ind w:start="360"/>
        <w:ind w:firstLine="360"/>
      </w:pPr>
      <w:r>
        <w:rPr>
          <w:b/>
        </w:rPr>
        <w:t>(1)</w:t>
        <w:t xml:space="preserve">.  </w:t>
      </w:r>
      <w:r>
        <w:rPr>
          <w:b/>
        </w:rPr>
      </w:r>
      <w:r>
        <w:t xml:space="preserve"> </w:t>
      </w:r>
      <w:r>
        <w:t xml:space="preserve">Except as otherwise provided in this Article and in </w:t>
      </w:r>
      <w:r>
        <w:t>section 2‑403, subsection (2)</w:t>
      </w:r>
      <w:r>
        <w:t xml:space="preserve">:</w:t>
      </w:r>
    </w:p>
    <w:p>
      <w:pPr>
        <w:jc w:val="both"/>
        <w:spacing w:before="100" w:after="0"/>
        <w:ind w:start="720"/>
      </w:pPr>
      <w:r>
        <w:rPr/>
        <w:t>(a)</w:t>
        <w:t xml:space="preserve">.  </w:t>
      </w:r>
      <w:r>
        <w:rPr/>
      </w:r>
      <w:r>
        <w:t xml:space="preserve">A security interest or agricultural lien continues in collateral notwithstanding sale, lease, license, exchange or other disposition thereof unless the secured party authorized the disposition free of the security interest or agricultural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attaches to any identifiable proceeds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Proceeds that are commingled with other property are identifiable proceeds:</w:t>
      </w:r>
    </w:p>
    <w:p>
      <w:pPr>
        <w:jc w:val="both"/>
        <w:spacing w:before="100" w:after="0"/>
        <w:ind w:start="720"/>
      </w:pPr>
      <w:r>
        <w:rPr/>
        <w:t>(a)</w:t>
        <w:t xml:space="preserve">.  </w:t>
      </w:r>
      <w:r>
        <w:rPr/>
      </w:r>
      <w:r>
        <w:t xml:space="preserve">If the proceeds are goods, to the extent provided by </w:t>
      </w:r>
      <w:r>
        <w:t>section 9‑1336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proceeds are not goods, to the extent that the secured party identifies the proceeds by a method of tracing, including application of equitable principles, that is permitted under law other than this Article with respect to commingled property of the type involved.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in proceeds is a perfected security interest if the security interest in the original collateral was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perfected security interest in proceeds becomes unperfected on the 21st day after the security interest attaches to the proceeds unless:</w:t>
      </w:r>
    </w:p>
    <w:p>
      <w:pPr>
        <w:jc w:val="both"/>
        <w:spacing w:before="100" w:after="0"/>
        <w:ind w:start="720"/>
      </w:pPr>
      <w:r>
        <w:rPr/>
        <w:t>(a)</w:t>
        <w:t xml:space="preserve">.  </w:t>
      </w:r>
      <w:r>
        <w:rPr/>
      </w:r>
      <w:r>
        <w:t xml:space="preserve">The following conditions are satisfied:</w:t>
      </w:r>
    </w:p>
    <w:p>
      <w:pPr>
        <w:jc w:val="both"/>
        <w:spacing w:before="100" w:after="0"/>
        <w:ind w:start="1080"/>
      </w:pPr>
      <w:r>
        <w:rPr/>
        <w:t>(</w:t>
        <w:t>i</w:t>
        <w:t xml:space="preserve">)  </w:t>
      </w:r>
      <w:r>
        <w:rPr/>
      </w:r>
      <w:r>
        <w:t xml:space="preserve">A filed financing statement covers the original collateral;</w:t>
      </w:r>
    </w:p>
    <w:p>
      <w:pPr>
        <w:jc w:val="both"/>
        <w:spacing w:before="100" w:after="0"/>
        <w:ind w:start="1080"/>
      </w:pPr>
      <w:r>
        <w:rPr/>
        <w:t>(</w:t>
        <w:t>ii</w:t>
        <w:t xml:space="preserve">)  </w:t>
      </w:r>
      <w:r>
        <w:rPr/>
      </w:r>
      <w:r>
        <w:t xml:space="preserve">The proceeds are collateral in which a security interest may be perfected by filing in the office in which the financing statement has been filed; and</w:t>
      </w:r>
    </w:p>
    <w:p>
      <w:pPr>
        <w:jc w:val="both"/>
        <w:spacing w:before="100" w:after="0"/>
        <w:ind w:start="1080"/>
      </w:pPr>
      <w:r>
        <w:rPr/>
        <w:t>(</w:t>
        <w:t>iii</w:t>
        <w:t xml:space="preserve">)  </w:t>
      </w:r>
      <w:r>
        <w:rPr/>
      </w:r>
      <w:r>
        <w:t xml:space="preserve">the proceeds are not acquired with cash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are identifiable cash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in the proceeds is perfected other than under </w:t>
      </w:r>
      <w:r>
        <w:t>subsection (3)</w:t>
      </w:r>
      <w:r>
        <w:t xml:space="preserve"> when the security interest attaches to the proceeds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filed financing statement covers the original collateral, a security interest in proceeds that remains perfected under </w:t>
      </w:r>
      <w:r>
        <w:t>subsection (4), paragraph (a)</w:t>
      </w:r>
      <w:r>
        <w:t xml:space="preserve"> becomes unperfected at the later of:</w:t>
      </w:r>
    </w:p>
    <w:p>
      <w:pPr>
        <w:jc w:val="both"/>
        <w:spacing w:before="100" w:after="0"/>
        <w:ind w:start="720"/>
      </w:pPr>
      <w:r>
        <w:rPr/>
        <w:t>(a)</w:t>
        <w:t xml:space="preserve">.  </w:t>
      </w:r>
      <w:r>
        <w:rPr/>
      </w:r>
      <w:r>
        <w:t xml:space="preserve">The date when the effectiveness of the filed financing statement lapses under </w:t>
      </w:r>
      <w:r>
        <w:t>section 9‑1515</w:t>
      </w:r>
      <w:r>
        <w:t xml:space="preserve"> or is terminated under </w:t>
      </w:r>
      <w:r>
        <w:t>section 9‑1513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21st day after the security interest attaches to the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§9-1315. Secured party's rights on disposition of collateral and in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§9-1315. Secured party's rights on disposition of collateral and in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§9-1315. SECURED PARTY'S RIGHTS ON DISPOSITION OF COLLATERAL AND IN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