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b/>
        </w:rPr>
        <w:t>(TEXT EFFECTIVE UNTIL 1/01/24)</w:t>
        <w:t xml:space="preserve"> </w:t>
      </w:r>
      <w:r>
        <w:rPr/>
      </w:r>
      <w:r>
        <w:t xml:space="preserve">A person who violates this subsection commits a Class E crime.</w:t>
      </w:r>
    </w:p>
    <w:p>
      <w:pPr>
        <w:jc w:val="both"/>
        <w:spacing w:before="100" w:after="0"/>
        <w:ind w:start="360"/>
      </w:pPr>
      <w:r>
        <w:rPr/>
      </w:r>
      <w:r>
        <w:rPr>
          <w:b/>
        </w:rPr>
        <w:t>(TEXT EFFECTIVE 1/01/24)</w:t>
        <w:t xml:space="preserve"> </w:t>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§12051.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§12051.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§12051.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