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Limitations on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Limitations on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§1303. LIMITATIONS ON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