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Arrests in other counties</w:t>
      </w:r>
    </w:p>
    <w:p>
      <w:pPr>
        <w:jc w:val="both"/>
        <w:spacing w:before="100" w:after="100"/>
        <w:ind w:start="360"/>
        <w:ind w:firstLine="360"/>
      </w:pPr>
      <w:r>
        <w:rPr/>
      </w:r>
      <w:r>
        <w:rPr/>
      </w:r>
      <w:r>
        <w:t xml:space="preserve">When a person charged with an offense in any county, before or after the issue of the warrant, removes, escapes or is found out of it, the officer having the warrant may pursue and arrest him in any other county and command aid as in his own county.</w:t>
      </w:r>
      <w:r>
        <w:t xml:space="preserve">  </w:t>
      </w:r>
      <w:r xmlns:wp="http://schemas.openxmlformats.org/drawingml/2010/wordprocessingDrawing" xmlns:w15="http://schemas.microsoft.com/office/word/2012/wordml">
        <w:rPr>
          <w:rFonts w:ascii="Arial" w:hAnsi="Arial" w:cs="Arial"/>
          <w:sz w:val="22"/>
          <w:szCs w:val="22"/>
        </w:rPr>
        <w:t xml:space="preserve">[PL 1965, c. 356,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 Arrests in other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Arrests in other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§705. ARRESTS IN OTHER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