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Applicable law</w:t>
      </w:r>
    </w:p>
    <w:p>
      <w:pPr>
        <w:jc w:val="both"/>
        <w:spacing w:before="100" w:after="100"/>
        <w:ind w:start="360"/>
        <w:ind w:firstLine="360"/>
      </w:pPr>
      <w:r>
        <w:rPr/>
      </w:r>
      <w:r>
        <w:rPr/>
      </w:r>
      <w:r>
        <w:t xml:space="preserve">This Part applies to the estate of the decedent who dies domiciled in this State.  Rights to homestead allowance, exempt property and family allowance for a decedent who dies not domiciled in this State are governed by the law of the decedent's domicile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§2-401. Applicable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Applicable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§2-401. APPLICABLE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