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Informal probate;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§3-303. INFORMAL PROBATE;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