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1472-C</w:t>
        <w:t xml:space="preserve">.  </w:t>
      </w:r>
      <w:r>
        <w:rPr>
          <w:b/>
        </w:rPr>
        <w:t xml:space="preserve">Term of office for elected directors</w:t>
      </w:r>
    </w:p>
    <w:p>
      <w:pPr>
        <w:jc w:val="both"/>
        <w:spacing w:before="100" w:after="100"/>
        <w:ind w:start="360"/>
        <w:ind w:firstLine="360"/>
      </w:pPr>
      <w:r>
        <w:rPr/>
      </w:r>
      <w:r>
        <w:rPr/>
      </w:r>
      <w:r>
        <w:t xml:space="preserve">Notwithstanding any other provision of this subchapter, a regional school unit board may place an article before the voters in the member municipalities of the regional school unit that would permit the regional school unit board to establish a single common date for beginning the term of office for duly elected directors when the board members are elected at the regular municipal election of the member municipalities and these municipal elections are held at different times.</w:t>
      </w:r>
      <w:r>
        <w:t xml:space="preserve">  </w:t>
      </w:r>
      <w:r xmlns:wp="http://schemas.openxmlformats.org/drawingml/2010/wordprocessingDrawing" xmlns:w15="http://schemas.microsoft.com/office/word/2012/wordml">
        <w:rPr>
          <w:rFonts w:ascii="Arial" w:hAnsi="Arial" w:cs="Arial"/>
          <w:sz w:val="22"/>
          <w:szCs w:val="22"/>
        </w:rPr>
        <w:t xml:space="preserve">[PL 2009, c. 580,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§1472-C. Term of office for elected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§1472-C. Term of office for elected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§1472-C. TERM OF OFFICE FOR ELECTED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