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20116</w:t>
        <w:t xml:space="preserve">.  </w:t>
      </w:r>
      <w:r>
        <w:rPr>
          <w:b/>
        </w:rPr>
        <w:t xml:space="preserve">Withdrawal and dissolution - Article 16</w:t>
      </w:r>
    </w:p>
    <w:p>
      <w:pPr>
        <w:jc w:val="both"/>
        <w:spacing w:before="100" w:after="100"/>
        <w:ind w:start="360"/>
        <w:ind w:firstLine="360"/>
      </w:pPr>
      <w:r>
        <w:rPr>
          <w:b/>
        </w:rPr>
        <w:t>1</w:t>
        <w:t xml:space="preserve">.  </w:t>
      </w:r>
      <w:r>
        <w:rPr>
          <w:b/>
        </w:rPr>
        <w:t xml:space="preserve">Withdrawal.</w:t>
        <w:t xml:space="preserve"> </w:t>
      </w:r>
      <w:r>
        <w:t xml:space="preserve"> </w:t>
      </w:r>
      <w:r>
        <w:t xml:space="preserve">Withdrawal from the compact is governed by this subsection.</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enactment by a member state of a law repealing the statute that enacted the compact does not take effect until one year after the effective date of that law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notification from the withdrawing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withdrawing state is responsible for all assessments, obligations and liabilities incurred through the effective date of withdrawal, including obligations, the performance of which extend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Reinstatement following withdrawal of a member state occurs upon the withdrawing state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Dissolution of compact.</w:t>
        <w:t xml:space="preserve"> </w:t>
      </w:r>
      <w:r>
        <w:t xml:space="preserve"> </w:t>
      </w:r>
      <w:r>
        <w:t xml:space="preserve">This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Conclusion of affairs.</w:t>
        <w:t xml:space="preserve"> </w:t>
      </w:r>
      <w:r>
        <w:t xml:space="preserve"> </w:t>
      </w:r>
      <w:r>
        <w:t xml:space="preserve">Upon the dissolution of this compact, the compact becomes void and is of no further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§20116. Withdrawal and dissolution - Article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§20116. Withdrawal and dissolution - Article 16</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§20116. WITHDRAWAL AND DISSOLUTION - ARTICLE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