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State Auditor or commissioner may cause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§1347. State Auditor or commissioner may cause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State Auditor or commissioner may cause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§1347. STATE AUDITOR OR COMMISSIONER MAY CAUSE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