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2887</w:t>
        <w:t xml:space="preserve">.  </w:t>
      </w:r>
      <w:r>
        <w:rPr>
          <w:b/>
        </w:rPr>
        <w:t xml:space="preserve">Expenses</w:t>
      </w:r>
    </w:p>
    <w:p>
      <w:pPr>
        <w:jc w:val="both"/>
        <w:spacing w:before="100" w:after="100"/>
        <w:ind w:start="360"/>
        <w:ind w:firstLine="360"/>
      </w:pPr>
      <w:r>
        <w:rPr/>
      </w:r>
      <w:r>
        <w:rPr/>
      </w:r>
      <w:r>
        <w:t xml:space="preserve">Neither the State nor any county or municipality, nor any officer, agent or servant thereof shall be at any expense by reason of the delivery or distribution of any such body, but all the expenses thereof, and of said board of distribution, shall be paid by those receiving the bodies in such manner as shall be specified by said board of distribution.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