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 MAIL ORDER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