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§1502-A. Cooperation of federal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Cooperation of federal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§1502-A. COOPERATION OF FEDERAL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