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 Unlawful excavation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Unlawful excavation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§375. UNLAWFUL EXCAVATION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