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13824</w:t>
        <w:t xml:space="preserve">.  </w:t>
      </w:r>
      <w:r>
        <w:rPr>
          <w:b/>
        </w:rPr>
        <w:t xml:space="preserve">Provision of standardized fact sheet required</w:t>
      </w:r>
    </w:p>
    <w:p>
      <w:pPr>
        <w:jc w:val="both"/>
        <w:spacing w:before="100" w:after="100"/>
        <w:ind w:start="360"/>
        <w:ind w:firstLine="360"/>
      </w:pPr>
      <w:r>
        <w:rPr/>
      </w:r>
      <w:r>
        <w:rPr/>
      </w:r>
      <w:r>
        <w:t xml:space="preserve">For each emergency contraception drug therapy initiated pursuant to this subchapter, the pharmacist shall provide the recipient of the emergency contraceptive drugs with a standardized fact sheet developed by the board that includes, but is not limited to, the indications for use of the drug, the appropriate method for using the drug, the need for medical follow-up and referral information, information on sexual assault and referral information and other appropriate information.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§13824. Provision of standardized fact sheet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§13824. Provision of standardized fact sheet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§13824. PROVISION OF STANDARDIZED FACT SHEET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