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Items covered by deed</w:t>
      </w:r>
    </w:p>
    <w:p>
      <w:pPr>
        <w:jc w:val="both"/>
        <w:spacing w:before="100" w:after="100"/>
        <w:ind w:start="360"/>
        <w:ind w:firstLine="360"/>
      </w:pPr>
      <w:r>
        <w:rPr/>
      </w:r>
      <w:r>
        <w:rPr/>
      </w:r>
      <w:r>
        <w:t xml:space="preserve">A person owning real estate and having a right of entry into it, whether seized of it or not, may convey it or all his interest in it, by a deed to be acknowledged and recorded as provided in this chapter. Down trees lying on land at the time of conveyance are real estate and pass by the deed; but such down trees as are cut into wood, logs or other lumber and hemlock bark peeled are personal property, and the owner may remove them in a reasonable time thereafter.</w:t>
      </w:r>
      <w:r>
        <w:t xml:space="preserve">  </w:t>
      </w:r>
      <w:r xmlns:wp="http://schemas.openxmlformats.org/drawingml/2010/wordprocessingDrawing" xmlns:w15="http://schemas.microsoft.com/office/word/2012/wordml">
        <w:rPr>
          <w:rFonts w:ascii="Arial" w:hAnsi="Arial" w:cs="Arial"/>
          <w:sz w:val="22"/>
          <w:szCs w:val="22"/>
        </w:rPr>
        <w:t xml:space="preserve">[PL 1983, c. 433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 Items covered by deed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Items covered by deed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§151. ITEMS COVERED BY DEED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