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 bond of trustees; disposal of proceeds of sale</w:t>
      </w:r>
    </w:p>
    <w:p>
      <w:pPr>
        <w:jc w:val="both"/>
        <w:spacing w:before="100" w:after="100"/>
        <w:ind w:start="360"/>
        <w:ind w:firstLine="360"/>
      </w:pPr>
      <w:r>
        <w:rPr/>
      </w:r>
      <w:r>
        <w:rPr/>
      </w:r>
      <w:r>
        <w:t xml:space="preserve">Every trustee appointed under </w:t>
      </w:r>
      <w:r>
        <w:t>section 153</w:t>
      </w:r>
      <w:r>
        <w:t xml:space="preserve"> shall give bond in such form and for such an amount as the court appointing him may order, and he shall receive and hold, invest or apply the proceeds of any sale or mortgage made by him for the benefit of the persons who would have been entitled to the real estate, if such sale or mortgage had not been made, and the probate court for the county in which such real estate or the greater part thereof is situated shall have jurisdiction of all matters thereafter arising in relation to such trust.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 -- bond of trustees; disposal of proceeds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 bond of trustees; disposal of proceeds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§155. -- BOND OF TRUSTEES; DISPOSAL OF PROCEEDS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