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Failure to record, effect of</w:t>
      </w:r>
    </w:p>
    <w:p>
      <w:pPr>
        <w:jc w:val="both"/>
        <w:spacing w:before="100" w:after="100"/>
        <w:ind w:start="360"/>
        <w:ind w:firstLine="360"/>
      </w:pPr>
      <w:r>
        <w:rPr/>
      </w:r>
      <w:r>
        <w:rPr/>
      </w:r>
      <w:r>
        <w:t xml:space="preserve">A deed purporting to convey an absolute estate in land cannot be defeated by an instrument intended as a defeasance, as against any other person than the maker, his heirs and devisees, unless such instrument is recorded in the registry where the deed is recorded.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 Failure to record, effect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Failure to record, effect 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§202. FAILURE TO RECORD, EFFECT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