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Recording master form</w:t>
      </w:r>
    </w:p>
    <w:p>
      <w:pPr>
        <w:jc w:val="both"/>
        <w:spacing w:before="100" w:after="100"/>
        <w:ind w:start="360"/>
        <w:ind w:firstLine="360"/>
      </w:pPr>
      <w:r>
        <w:rPr/>
      </w:r>
      <w:r>
        <w:rPr/>
      </w:r>
      <w:r>
        <w:t xml:space="preserve">An instrument containing a form or forms of convenants, conditions, obligations, powers and other clauses of a mortgage, or deed of trust, may be recorded in the registry of deeds of any county and the recorder of such county, upon the request of any person, on tender of the lawful fees therefor, shall record the same in his registry. Every such instrument shall be entitled on the face thereof as a "Master form recorded by ...................................................................................... (name of person causing the instrument  to be recorded)."  Such instrument need not be acknowledged to be entitled to record.</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Recording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 RECORDING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