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§2113. Payment or delivery of property to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Payment or delivery of property to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§2113. PAYMENT OR DELIVERY OF PROPERTY TO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