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Taxes due from forfeited interest charged against Unorganized Territory Education and Services Fund</w:t>
      </w:r>
    </w:p>
    <w:p>
      <w:pPr>
        <w:jc w:val="both"/>
        <w:spacing w:before="100" w:after="100"/>
        <w:ind w:start="360"/>
        <w:ind w:firstLine="360"/>
      </w:pPr>
      <w:r>
        <w:rPr/>
      </w:r>
      <w:r>
        <w:rPr/>
      </w:r>
      <w:r>
        <w:t xml:space="preserve">After such timber and grass shall be wholly forfeited to the State, the State Tax Assessor shall certify to the State Controller the amount of unpaid taxes and interest then outstanding. Such state taxes and interest shall be charged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1979, c. 666,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§261 (AMD). PL 1979, c. 666,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§1547. Taxes due from forfeited interest charged against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Taxes due from forfeited interest charged against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§1547. TAXES DUE FROM FORFEITED INTEREST CHARGED AGAINST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