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§5256. Period for computation of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Period for computation of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§5256. PERIOD FOR COMPUTATION OF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