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Assessment and commitment</w:t>
      </w:r>
    </w:p>
    <w:p>
      <w:pPr>
        <w:jc w:val="both"/>
        <w:spacing w:before="100" w:after="100"/>
        <w:ind w:start="360"/>
        <w:ind w:firstLine="360"/>
      </w:pPr>
      <w:r>
        <w:rPr/>
      </w:r>
      <w:r>
        <w:rPr/>
      </w:r>
      <w:r>
        <w:t xml:space="preserve">The assessors shall assess upon the estates in their municipality all municipal taxes and their due proportion of any state or county tax payable during the municipal year for which municipal taxes are being raised, make perfect lists thereof and commit the same, when completed and signed by a majority of them, to the tax collector of their municipality, if any, otherwise to the sheriff of the county or his deputy, with a warrant under their hands, in the form prescribed by </w:t>
      </w:r>
      <w:r>
        <w:t>section 753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651,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§97 (AMD). PL 1971, c. 46, §1 (AMD). PL 1973, c. 66, §9 (AMD). PL 1975, c. 651,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§709. Assessment and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Assessment and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§709. ASSESSMENT AND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