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Coordination with municipal planning; applicable to all sewer districts</w:t>
      </w:r>
    </w:p>
    <w:p>
      <w:pPr>
        <w:jc w:val="both"/>
        <w:spacing w:before="100" w:after="100"/>
        <w:ind w:start="360"/>
        <w:ind w:firstLine="360"/>
      </w:pPr>
      <w:r>
        <w:rPr/>
      </w:r>
      <w:r>
        <w:rPr/>
      </w:r>
      <w:r>
        <w:t xml:space="preserve">The following provisions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Growth management.</w:t>
        <w:t xml:space="preserve"> </w:t>
      </w:r>
      <w:r>
        <w:t xml:space="preserve"> </w:t>
      </w:r>
      <w:r>
        <w:t xml:space="preserve">The trustees of a sewer district shall cooperate with municipal officials in the development of municipal growth management and other land use plans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Development that affects the district.</w:t>
        <w:t xml:space="preserve"> </w:t>
      </w:r>
      <w:r>
        <w:t xml:space="preserve"> </w:t>
      </w:r>
      <w:r>
        <w:t xml:space="preserve">Municipal officers shall cooperate with the trustees of a sewer district during the consideration of development applications that may affect the operations of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9 and specifically provides that this section or former section 1252, subsection 9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§1037. Coordination with municipal planning;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Coordination with municipal planning;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§1037. COORDINATION WITH MUNICIPAL PLANNING;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