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Federal funds</w:t>
      </w:r>
    </w:p>
    <w:p>
      <w:pPr>
        <w:jc w:val="both"/>
        <w:spacing w:before="100" w:after="100"/>
        <w:ind w:start="360"/>
        <w:ind w:firstLine="360"/>
      </w:pPr>
      <w:r>
        <w:rPr/>
      </w:r>
      <w:r>
        <w:rPr/>
      </w:r>
      <w:r>
        <w:t xml:space="preserve">A state department or agency may not make expenditures of any federal funds or expenditures in anticipation of receipt of federal funds for any new or expanded programs in the Federal Expenditures Fund or federal block grant funds, unless such federal funds are approved by the Legislature. The expenditure of such federal funds may be authorized for a period not to exceed 12 calendar months in accordance with </w:t>
      </w:r>
      <w:r>
        <w:t>sections 1585</w:t>
      </w:r>
      <w:r>
        <w:t xml:space="preserve"> and </w:t>
      </w:r>
      <w:r>
        <w:t>1667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w:pPr>
        <w:jc w:val="both"/>
        <w:spacing w:before="100" w:after="100"/>
        <w:ind w:start="360"/>
        <w:ind w:firstLine="360"/>
      </w:pPr>
      <w:r>
        <w:rPr/>
      </w:r>
      <w:r>
        <w:rPr/>
      </w:r>
      <w:r>
        <w:t xml:space="preserve">All departments and agencies that receive federal funds from the Federal Expenditures Fund or federal block grant funds shall, within 10 working days of receipt of any official notification from the Federal Government concerning the potential or actual increase or reduction in present funding, submit a copy of that notification to the Director of the Office of Fiscal and Program Review.  In addition, departments and agencies shall, within 25 working days of that notification, submit in writing to the Director of the Office of Fiscal and Program Review their proposed plan of action to address the notification that may include an appeal or an outline of the options that will be examined in detail and a time frame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§F3 (NEW). PL 1983, c. 824, §L (AMD). PL 1985, c. 737, §B9 (AMD). PL 1989, c. 7, §O2 (AMD). PL 2001, c. 213,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§1669.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§1669.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