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18054</w:t>
        <w:t xml:space="preserve">.  </w:t>
      </w:r>
      <w:r>
        <w:rPr>
          <w:b/>
        </w:rPr>
        <w:t xml:space="preserve">Administration</w:t>
      </w:r>
    </w:p>
    <w:p>
      <w:pPr>
        <w:jc w:val="both"/>
        <w:spacing w:before="100" w:after="0"/>
        <w:ind w:start="360"/>
        <w:ind w:firstLine="360"/>
      </w:pPr>
      <w:r>
        <w:rPr>
          <w:b/>
        </w:rPr>
        <w:t>1</w:t>
        <w:t xml:space="preserve">.  </w:t>
      </w:r>
      <w:r>
        <w:rPr>
          <w:b/>
        </w:rPr>
        <w:t xml:space="preserve">Expenses.</w:t>
        <w:t xml:space="preserve"> </w:t>
      </w:r>
      <w:r>
        <w:t xml:space="preserve"> </w:t>
      </w:r>
      <w:r>
        <w:t xml:space="preserve">All expenses of a group life insurance program shall be reimbursed from premium rate adjustments, dividends or interest earnings on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Report.</w:t>
        <w:t xml:space="preserve"> </w:t>
      </w:r>
      <w:r>
        <w:t xml:space="preserve"> </w:t>
      </w:r>
      <w:r>
        <w:t xml:space="preserve">A report of the activities of the group life insurance program shall be published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§18054.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