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Violations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corporation or association or an agent or employee of one of those entities may not violate this chapter or a rule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2</w:t>
        <w:t xml:space="preserve">.  </w:t>
      </w:r>
      <w:r>
        <w:rPr>
          <w:b/>
        </w:rPr>
        <w:t xml:space="preserve">Penalty.</w:t>
        <w:t xml:space="preserve"> </w:t>
      </w:r>
      <w:r>
        <w:t xml:space="preserve"> </w:t>
      </w:r>
      <w:r>
        <w:t xml:space="preserve">For each violation of this chapter or any rule adopted pursuant to this chapter, the director may:</w:t>
      </w:r>
    </w:p>
    <w:p>
      <w:pPr>
        <w:jc w:val="both"/>
        <w:spacing w:before="100" w:after="0"/>
        <w:ind w:start="720"/>
      </w:pPr>
      <w:r>
        <w:rPr/>
        <w:t>A</w:t>
        <w:t xml:space="preserve">.  </w:t>
      </w:r>
      <w:r>
        <w:rPr/>
      </w:r>
      <w:r>
        <w:t xml:space="preserve">Impose a fine of up to $1,000 per violation;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Impose a fine not to exceed $5,000 for violations arising out of the same transaction or occurrence.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§1107.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§1107.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